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7F78" w14:textId="77777777" w:rsidR="00492359" w:rsidRDefault="00492359" w:rsidP="00492359">
      <w:pPr>
        <w:bidi w:val="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Research Grant</w:t>
      </w:r>
      <w:r w:rsidRPr="00F2327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Application</w:t>
      </w:r>
    </w:p>
    <w:p w14:paraId="04DB1642" w14:textId="77777777" w:rsidR="00492359" w:rsidRPr="00F23274" w:rsidRDefault="00492359" w:rsidP="00492359">
      <w:pPr>
        <w:bidi w:val="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F2327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Guidelines, </w:t>
      </w:r>
      <w:r w:rsidRPr="00F23274">
        <w:rPr>
          <w:rFonts w:asciiTheme="majorBidi" w:hAnsiTheme="majorBidi" w:cstheme="majorBidi"/>
          <w:b/>
          <w:bCs/>
          <w:color w:val="C00000"/>
          <w:sz w:val="28"/>
          <w:szCs w:val="28"/>
        </w:rPr>
        <w:t>Conditions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, and Mechanisms</w:t>
      </w:r>
    </w:p>
    <w:p w14:paraId="63F19886" w14:textId="77777777" w:rsidR="00492359" w:rsidRDefault="00492359" w:rsidP="00492359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Research Grant</w:t>
      </w:r>
      <w:r w:rsidRPr="00F2327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A</w:t>
      </w:r>
      <w:r w:rsidRPr="00F2327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pplication </w:t>
      </w:r>
    </w:p>
    <w:p w14:paraId="46752F83" w14:textId="354851C4" w:rsidR="00492359" w:rsidRPr="0029332E" w:rsidRDefault="00492359" w:rsidP="0049235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29332E">
        <w:rPr>
          <w:rFonts w:asciiTheme="majorBidi" w:hAnsiTheme="majorBidi" w:cstheme="majorBidi"/>
          <w:sz w:val="28"/>
          <w:szCs w:val="28"/>
        </w:rPr>
        <w:t xml:space="preserve">King Salman </w:t>
      </w:r>
      <w:r w:rsidR="006231B3" w:rsidRPr="0029332E">
        <w:rPr>
          <w:rFonts w:asciiTheme="majorBidi" w:hAnsiTheme="majorBidi" w:cstheme="majorBidi"/>
          <w:sz w:val="28"/>
          <w:szCs w:val="28"/>
        </w:rPr>
        <w:t>Centre</w:t>
      </w:r>
      <w:r w:rsidRPr="0029332E">
        <w:rPr>
          <w:rFonts w:asciiTheme="majorBidi" w:hAnsiTheme="majorBidi" w:cstheme="majorBidi"/>
          <w:sz w:val="28"/>
          <w:szCs w:val="28"/>
        </w:rPr>
        <w:t xml:space="preserve"> for Disability Research</w:t>
      </w:r>
      <w:r>
        <w:rPr>
          <w:rFonts w:asciiTheme="majorBidi" w:hAnsiTheme="majorBidi" w:cstheme="majorBidi"/>
          <w:sz w:val="28"/>
          <w:szCs w:val="28"/>
          <w:lang w:val="en-MY"/>
        </w:rPr>
        <w:t xml:space="preserve"> (KSCDR)</w:t>
      </w:r>
      <w:r w:rsidRPr="0029332E">
        <w:rPr>
          <w:rFonts w:asciiTheme="majorBidi" w:hAnsiTheme="majorBidi" w:cstheme="majorBidi"/>
          <w:sz w:val="28"/>
          <w:szCs w:val="28"/>
        </w:rPr>
        <w:t xml:space="preserve"> welcomes researchers</w:t>
      </w:r>
      <w:r>
        <w:rPr>
          <w:rFonts w:asciiTheme="majorBidi" w:hAnsiTheme="majorBidi" w:cstheme="majorBidi"/>
          <w:sz w:val="28"/>
          <w:szCs w:val="28"/>
        </w:rPr>
        <w:t xml:space="preserve"> and announces that </w:t>
      </w:r>
      <w:r w:rsidRPr="0029332E">
        <w:rPr>
          <w:rFonts w:asciiTheme="majorBidi" w:hAnsiTheme="majorBidi" w:cstheme="majorBidi"/>
          <w:sz w:val="28"/>
          <w:szCs w:val="28"/>
        </w:rPr>
        <w:t>application forms</w:t>
      </w:r>
      <w:r>
        <w:rPr>
          <w:rFonts w:asciiTheme="majorBidi" w:hAnsiTheme="majorBidi" w:cstheme="majorBidi"/>
          <w:sz w:val="28"/>
          <w:szCs w:val="28"/>
        </w:rPr>
        <w:t xml:space="preserve"> are now available on</w:t>
      </w:r>
      <w:r w:rsidRPr="0029332E">
        <w:rPr>
          <w:rFonts w:asciiTheme="majorBidi" w:hAnsiTheme="majorBidi" w:cstheme="majorBidi"/>
          <w:sz w:val="28"/>
          <w:szCs w:val="28"/>
        </w:rPr>
        <w:t xml:space="preserve"> the </w:t>
      </w:r>
      <w:r w:rsidR="006231B3">
        <w:rPr>
          <w:rFonts w:asciiTheme="majorBidi" w:hAnsiTheme="majorBidi" w:cstheme="majorBidi"/>
          <w:sz w:val="28"/>
          <w:szCs w:val="28"/>
        </w:rPr>
        <w:t>Centre</w:t>
      </w:r>
      <w:r w:rsidRPr="0029332E">
        <w:rPr>
          <w:rFonts w:asciiTheme="majorBidi" w:hAnsiTheme="majorBidi" w:cstheme="majorBidi"/>
          <w:sz w:val="28"/>
          <w:szCs w:val="28"/>
        </w:rPr>
        <w:t xml:space="preserve"> website: </w:t>
      </w:r>
      <w:hyperlink r:id="rId7" w:history="1">
        <w:r w:rsidRPr="0029332E">
          <w:rPr>
            <w:rStyle w:val="Hyperlink"/>
            <w:rFonts w:asciiTheme="majorBidi" w:hAnsiTheme="majorBidi" w:cstheme="majorBidi"/>
            <w:sz w:val="28"/>
            <w:szCs w:val="28"/>
          </w:rPr>
          <w:t>https://www.kscdr.org.sa/ar/research/apply-researches</w:t>
        </w:r>
      </w:hyperlink>
      <w:r w:rsidRPr="0029332E">
        <w:rPr>
          <w:rFonts w:asciiTheme="majorBidi" w:hAnsiTheme="majorBidi" w:cstheme="majorBidi"/>
          <w:sz w:val="28"/>
          <w:szCs w:val="28"/>
        </w:rPr>
        <w:t xml:space="preserve"> </w:t>
      </w:r>
    </w:p>
    <w:p w14:paraId="18AC7E79" w14:textId="1CFF48DB" w:rsidR="00492359" w:rsidRPr="008B267A" w:rsidRDefault="00492359" w:rsidP="0049235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8B267A">
        <w:rPr>
          <w:rFonts w:asciiTheme="majorBidi" w:hAnsiTheme="majorBidi" w:cstheme="majorBidi"/>
          <w:sz w:val="28"/>
          <w:szCs w:val="28"/>
        </w:rPr>
        <w:t xml:space="preserve">Applicants are required to submit their applications electronically to King Salman </w:t>
      </w:r>
      <w:r w:rsidR="006231B3" w:rsidRPr="008B267A">
        <w:rPr>
          <w:rFonts w:asciiTheme="majorBidi" w:hAnsiTheme="majorBidi" w:cstheme="majorBidi"/>
          <w:sz w:val="28"/>
          <w:szCs w:val="28"/>
        </w:rPr>
        <w:t>Centre</w:t>
      </w:r>
      <w:r w:rsidRPr="008B267A">
        <w:rPr>
          <w:rFonts w:asciiTheme="majorBidi" w:hAnsiTheme="majorBidi" w:cstheme="majorBidi"/>
          <w:sz w:val="28"/>
          <w:szCs w:val="28"/>
        </w:rPr>
        <w:t xml:space="preserve"> for Disability Research </w:t>
      </w:r>
      <w:r w:rsidRPr="008B267A">
        <w:rPr>
          <w:rFonts w:asciiTheme="majorBidi" w:hAnsiTheme="majorBidi" w:cstheme="majorBidi"/>
          <w:sz w:val="28"/>
          <w:szCs w:val="28"/>
          <w:lang w:val="en-MY"/>
        </w:rPr>
        <w:t>(KSCDR)</w:t>
      </w:r>
      <w:r>
        <w:rPr>
          <w:rFonts w:asciiTheme="majorBidi" w:hAnsiTheme="majorBidi" w:cstheme="majorBidi"/>
          <w:sz w:val="28"/>
          <w:szCs w:val="28"/>
        </w:rPr>
        <w:t xml:space="preserve"> to its </w:t>
      </w:r>
      <w:r w:rsidRPr="008B267A">
        <w:rPr>
          <w:rFonts w:asciiTheme="majorBidi" w:hAnsiTheme="majorBidi" w:cstheme="majorBidi"/>
          <w:sz w:val="28"/>
          <w:szCs w:val="28"/>
        </w:rPr>
        <w:t>email address: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B267A">
        <w:rPr>
          <w:rFonts w:asciiTheme="majorBidi" w:hAnsiTheme="majorBidi" w:cstheme="majorBidi"/>
          <w:sz w:val="28"/>
          <w:szCs w:val="28"/>
        </w:rPr>
        <w:t xml:space="preserve"> </w:t>
      </w:r>
      <w:hyperlink r:id="rId8" w:history="1">
        <w:r w:rsidRPr="008B267A">
          <w:rPr>
            <w:rStyle w:val="Hyperlink"/>
            <w:rFonts w:asciiTheme="majorBidi" w:hAnsiTheme="majorBidi" w:cstheme="majorBidi"/>
            <w:sz w:val="28"/>
            <w:szCs w:val="28"/>
          </w:rPr>
          <w:t>research-grants@kscdr.org.sa</w:t>
        </w:r>
      </w:hyperlink>
    </w:p>
    <w:p w14:paraId="2C7C9F2E" w14:textId="77777777" w:rsidR="00492359" w:rsidRPr="003D2601" w:rsidRDefault="00492359" w:rsidP="00492359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43F37C88" w14:textId="77777777" w:rsidR="00492359" w:rsidRDefault="00492359" w:rsidP="00492359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3D2601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General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Guidelines</w:t>
      </w:r>
    </w:p>
    <w:p w14:paraId="6EFD388F" w14:textId="77777777" w:rsidR="00492359" w:rsidRPr="00010A80" w:rsidRDefault="00492359" w:rsidP="004923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398B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research grant application</w:t>
      </w:r>
      <w:r w:rsidRPr="00B3398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should </w:t>
      </w:r>
      <w:r w:rsidRPr="00B3398B">
        <w:rPr>
          <w:rFonts w:asciiTheme="majorBidi" w:hAnsiTheme="majorBidi" w:cstheme="majorBidi"/>
          <w:sz w:val="28"/>
          <w:szCs w:val="28"/>
        </w:rPr>
        <w:t>be original and has not been previously submitted to any other party.</w:t>
      </w:r>
    </w:p>
    <w:p w14:paraId="036FA6E9" w14:textId="77777777" w:rsidR="00492359" w:rsidRPr="00B3398B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6D62EDEB" w14:textId="77777777" w:rsidR="00492359" w:rsidRDefault="00492359" w:rsidP="004923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398B">
        <w:rPr>
          <w:rFonts w:asciiTheme="majorBidi" w:hAnsiTheme="majorBidi" w:cstheme="majorBidi"/>
          <w:sz w:val="28"/>
          <w:szCs w:val="28"/>
        </w:rPr>
        <w:t>The international research language is English</w:t>
      </w:r>
      <w:r>
        <w:rPr>
          <w:rFonts w:asciiTheme="majorBidi" w:hAnsiTheme="majorBidi" w:cstheme="majorBidi"/>
          <w:sz w:val="28"/>
          <w:szCs w:val="28"/>
        </w:rPr>
        <w:t>;</w:t>
      </w:r>
      <w:r w:rsidRPr="00B3398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however,</w:t>
      </w:r>
      <w:r w:rsidRPr="00B3398B">
        <w:rPr>
          <w:rFonts w:asciiTheme="majorBidi" w:hAnsiTheme="majorBidi" w:cstheme="majorBidi"/>
          <w:sz w:val="28"/>
          <w:szCs w:val="28"/>
        </w:rPr>
        <w:t xml:space="preserve"> applications </w:t>
      </w:r>
      <w:r>
        <w:rPr>
          <w:rFonts w:asciiTheme="majorBidi" w:hAnsiTheme="majorBidi" w:cstheme="majorBidi"/>
          <w:sz w:val="28"/>
          <w:szCs w:val="28"/>
        </w:rPr>
        <w:t>may</w:t>
      </w:r>
      <w:r w:rsidRPr="00B3398B">
        <w:rPr>
          <w:rFonts w:asciiTheme="majorBidi" w:hAnsiTheme="majorBidi" w:cstheme="majorBidi"/>
          <w:sz w:val="28"/>
          <w:szCs w:val="28"/>
        </w:rPr>
        <w:t xml:space="preserve"> be submitted either in Arabic or English.</w:t>
      </w:r>
    </w:p>
    <w:p w14:paraId="074E2FD5" w14:textId="77777777" w:rsidR="00492359" w:rsidRPr="00B3398B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5D8DC1BD" w14:textId="77777777" w:rsidR="00492359" w:rsidRDefault="00492359" w:rsidP="004923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398B">
        <w:rPr>
          <w:rFonts w:asciiTheme="majorBidi" w:hAnsiTheme="majorBidi" w:cstheme="majorBidi"/>
          <w:sz w:val="28"/>
          <w:szCs w:val="28"/>
        </w:rPr>
        <w:t xml:space="preserve">The proposal </w:t>
      </w:r>
      <w:r>
        <w:rPr>
          <w:rFonts w:asciiTheme="majorBidi" w:hAnsiTheme="majorBidi" w:cstheme="majorBidi"/>
          <w:sz w:val="28"/>
          <w:szCs w:val="28"/>
        </w:rPr>
        <w:t>should</w:t>
      </w:r>
      <w:r w:rsidRPr="00B3398B">
        <w:rPr>
          <w:rFonts w:asciiTheme="majorBidi" w:hAnsiTheme="majorBidi" w:cstheme="majorBidi"/>
          <w:sz w:val="28"/>
          <w:szCs w:val="28"/>
        </w:rPr>
        <w:t xml:space="preserve"> not exceed 2</w:t>
      </w:r>
      <w:r>
        <w:rPr>
          <w:rFonts w:asciiTheme="majorBidi" w:hAnsiTheme="majorBidi" w:cstheme="majorBidi"/>
          <w:sz w:val="28"/>
          <w:szCs w:val="28"/>
        </w:rPr>
        <w:t>5</w:t>
      </w:r>
      <w:r w:rsidRPr="00B3398B">
        <w:rPr>
          <w:rFonts w:asciiTheme="majorBidi" w:hAnsiTheme="majorBidi" w:cstheme="majorBidi"/>
          <w:sz w:val="28"/>
          <w:szCs w:val="28"/>
        </w:rPr>
        <w:t xml:space="preserve"> pages</w:t>
      </w:r>
      <w:r>
        <w:rPr>
          <w:rFonts w:asciiTheme="majorBidi" w:hAnsiTheme="majorBidi" w:cstheme="majorBidi"/>
          <w:sz w:val="28"/>
          <w:szCs w:val="28"/>
        </w:rPr>
        <w:t xml:space="preserve"> (not including the cover page, research abstract, references, appendices, budgets, and researchers’ CVs). N</w:t>
      </w:r>
      <w:r w:rsidRPr="00B3398B">
        <w:rPr>
          <w:rFonts w:asciiTheme="majorBidi" w:hAnsiTheme="majorBidi" w:cstheme="majorBidi"/>
          <w:sz w:val="28"/>
          <w:szCs w:val="28"/>
        </w:rPr>
        <w:t>on-comp</w:t>
      </w:r>
      <w:r>
        <w:rPr>
          <w:rFonts w:asciiTheme="majorBidi" w:hAnsiTheme="majorBidi" w:cstheme="majorBidi"/>
          <w:sz w:val="28"/>
          <w:szCs w:val="28"/>
        </w:rPr>
        <w:t>lia</w:t>
      </w:r>
      <w:r w:rsidRPr="00B3398B">
        <w:rPr>
          <w:rFonts w:asciiTheme="majorBidi" w:hAnsiTheme="majorBidi" w:cstheme="majorBidi"/>
          <w:sz w:val="28"/>
          <w:szCs w:val="28"/>
        </w:rPr>
        <w:t xml:space="preserve">nt applications will not be forwarded to the relevant committees for </w:t>
      </w:r>
      <w:r>
        <w:rPr>
          <w:rFonts w:asciiTheme="majorBidi" w:hAnsiTheme="majorBidi" w:cstheme="majorBidi"/>
          <w:sz w:val="28"/>
          <w:szCs w:val="28"/>
        </w:rPr>
        <w:t>review</w:t>
      </w:r>
      <w:r w:rsidRPr="00B3398B">
        <w:rPr>
          <w:rFonts w:asciiTheme="majorBidi" w:hAnsiTheme="majorBidi" w:cstheme="majorBidi"/>
          <w:sz w:val="28"/>
          <w:szCs w:val="28"/>
        </w:rPr>
        <w:t>.</w:t>
      </w:r>
    </w:p>
    <w:p w14:paraId="224E54D1" w14:textId="77777777" w:rsidR="00492359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321891A5" w14:textId="77777777" w:rsidR="00492359" w:rsidRDefault="00492359" w:rsidP="0049235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tables, diagrams, figures, plans, and illustrations must be included within the specified pages of the research grant proposal.</w:t>
      </w:r>
    </w:p>
    <w:p w14:paraId="739837DC" w14:textId="77777777" w:rsidR="00492359" w:rsidRPr="008B267A" w:rsidRDefault="00492359" w:rsidP="00492359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31A3F9B8" w14:textId="77777777" w:rsidR="00492359" w:rsidRDefault="00492359" w:rsidP="004923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B3398B">
        <w:rPr>
          <w:rFonts w:asciiTheme="majorBidi" w:hAnsiTheme="majorBidi" w:cstheme="majorBidi"/>
          <w:sz w:val="28"/>
          <w:szCs w:val="28"/>
        </w:rPr>
        <w:t xml:space="preserve">The document </w:t>
      </w:r>
      <w:r>
        <w:rPr>
          <w:rFonts w:asciiTheme="majorBidi" w:hAnsiTheme="majorBidi" w:cstheme="majorBidi"/>
          <w:sz w:val="28"/>
          <w:szCs w:val="28"/>
        </w:rPr>
        <w:t>should</w:t>
      </w:r>
      <w:r w:rsidRPr="00B3398B">
        <w:rPr>
          <w:rFonts w:asciiTheme="majorBidi" w:hAnsiTheme="majorBidi" w:cstheme="majorBidi"/>
          <w:sz w:val="28"/>
          <w:szCs w:val="28"/>
        </w:rPr>
        <w:t xml:space="preserve"> be formatted </w:t>
      </w:r>
      <w:r>
        <w:rPr>
          <w:rFonts w:asciiTheme="majorBidi" w:hAnsiTheme="majorBidi" w:cstheme="majorBidi"/>
          <w:sz w:val="28"/>
          <w:szCs w:val="28"/>
        </w:rPr>
        <w:t>using</w:t>
      </w:r>
      <w:r w:rsidRPr="00B3398B">
        <w:rPr>
          <w:rFonts w:asciiTheme="majorBidi" w:hAnsiTheme="majorBidi" w:cstheme="majorBidi"/>
          <w:sz w:val="28"/>
          <w:szCs w:val="28"/>
        </w:rPr>
        <w:t xml:space="preserve"> Times New Roman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B3398B">
        <w:rPr>
          <w:rFonts w:asciiTheme="majorBidi" w:hAnsiTheme="majorBidi" w:cstheme="majorBidi"/>
          <w:sz w:val="28"/>
          <w:szCs w:val="28"/>
        </w:rPr>
        <w:t>size 12</w:t>
      </w:r>
      <w:r>
        <w:rPr>
          <w:rFonts w:asciiTheme="majorBidi" w:hAnsiTheme="majorBidi" w:cstheme="majorBidi"/>
          <w:sz w:val="28"/>
          <w:szCs w:val="28"/>
        </w:rPr>
        <w:t>)</w:t>
      </w:r>
      <w:r w:rsidRPr="00B3398B">
        <w:rPr>
          <w:rFonts w:asciiTheme="majorBidi" w:hAnsiTheme="majorBidi" w:cstheme="majorBidi"/>
          <w:sz w:val="28"/>
          <w:szCs w:val="28"/>
        </w:rPr>
        <w:t xml:space="preserve"> and double</w:t>
      </w:r>
      <w:r>
        <w:rPr>
          <w:rFonts w:asciiTheme="majorBidi" w:hAnsiTheme="majorBidi" w:cstheme="majorBidi"/>
          <w:sz w:val="28"/>
          <w:szCs w:val="28"/>
        </w:rPr>
        <w:t>-spaced.</w:t>
      </w:r>
    </w:p>
    <w:p w14:paraId="7AAFD8FD" w14:textId="77777777" w:rsidR="00492359" w:rsidRDefault="00492359" w:rsidP="00492359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4724573F" w14:textId="77777777" w:rsidR="00492359" w:rsidRDefault="00492359" w:rsidP="00492359">
      <w:pPr>
        <w:pStyle w:val="ListParagraph"/>
        <w:ind w:left="36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bookmarkStart w:id="0" w:name="_Hlk66306700"/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Applying</w:t>
      </w:r>
      <w:r w:rsidRPr="00D41CE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for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Research Grant Conditions</w:t>
      </w:r>
    </w:p>
    <w:bookmarkEnd w:id="0"/>
    <w:p w14:paraId="5833F71C" w14:textId="77777777" w:rsidR="00492359" w:rsidRPr="00D41CEA" w:rsidRDefault="00492359" w:rsidP="00492359">
      <w:pPr>
        <w:pStyle w:val="ListParagraph"/>
        <w:ind w:left="36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5C9BC43D" w14:textId="0FA82FEE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bookmarkStart w:id="1" w:name="_Hlk66306746"/>
      <w:r w:rsidRPr="00037A33">
        <w:rPr>
          <w:rFonts w:asciiTheme="majorBidi" w:hAnsiTheme="majorBidi" w:cstheme="majorBidi"/>
          <w:sz w:val="28"/>
          <w:szCs w:val="28"/>
        </w:rPr>
        <w:t xml:space="preserve">In the </w:t>
      </w:r>
      <w:r>
        <w:rPr>
          <w:rFonts w:asciiTheme="majorBidi" w:hAnsiTheme="majorBidi" w:cstheme="majorBidi"/>
          <w:sz w:val="28"/>
          <w:szCs w:val="28"/>
        </w:rPr>
        <w:t>research grant</w:t>
      </w:r>
      <w:r w:rsidRPr="00037A33">
        <w:rPr>
          <w:rFonts w:asciiTheme="majorBidi" w:hAnsiTheme="majorBidi" w:cstheme="majorBidi"/>
          <w:sz w:val="28"/>
          <w:szCs w:val="28"/>
        </w:rPr>
        <w:t xml:space="preserve"> proposal, it is necessary to take into account the research priorities declared by the </w:t>
      </w:r>
      <w:r w:rsidR="006231B3">
        <w:rPr>
          <w:rFonts w:asciiTheme="majorBidi" w:hAnsiTheme="majorBidi" w:cstheme="majorBidi"/>
          <w:sz w:val="28"/>
          <w:szCs w:val="28"/>
        </w:rPr>
        <w:t>Centre</w:t>
      </w:r>
      <w:r w:rsidRPr="00037A33">
        <w:rPr>
          <w:rFonts w:asciiTheme="majorBidi" w:hAnsiTheme="majorBidi" w:cstheme="majorBidi"/>
          <w:sz w:val="28"/>
          <w:szCs w:val="28"/>
        </w:rPr>
        <w:t xml:space="preserve">, and to </w:t>
      </w:r>
      <w:r>
        <w:rPr>
          <w:rFonts w:asciiTheme="majorBidi" w:hAnsiTheme="majorBidi" w:cstheme="majorBidi"/>
          <w:sz w:val="28"/>
          <w:szCs w:val="28"/>
        </w:rPr>
        <w:t>address</w:t>
      </w:r>
      <w:r w:rsidRPr="00037A33">
        <w:rPr>
          <w:rFonts w:asciiTheme="majorBidi" w:hAnsiTheme="majorBidi" w:cstheme="majorBidi"/>
          <w:sz w:val="28"/>
          <w:szCs w:val="28"/>
        </w:rPr>
        <w:t xml:space="preserve"> a </w:t>
      </w:r>
      <w:r w:rsidR="004239C0">
        <w:rPr>
          <w:rFonts w:asciiTheme="majorBidi" w:hAnsiTheme="majorBidi" w:cstheme="majorBidi"/>
          <w:sz w:val="28"/>
          <w:szCs w:val="28"/>
        </w:rPr>
        <w:t>current</w:t>
      </w:r>
      <w:r w:rsidRPr="00037A33">
        <w:rPr>
          <w:rFonts w:asciiTheme="majorBidi" w:hAnsiTheme="majorBidi" w:cstheme="majorBidi"/>
          <w:sz w:val="28"/>
          <w:szCs w:val="28"/>
        </w:rPr>
        <w:t xml:space="preserve"> issue in the field, </w:t>
      </w:r>
      <w:r w:rsidR="006231B3">
        <w:rPr>
          <w:rFonts w:asciiTheme="majorBidi" w:hAnsiTheme="majorBidi" w:cstheme="majorBidi"/>
          <w:sz w:val="28"/>
          <w:szCs w:val="28"/>
        </w:rPr>
        <w:t>i.e.,</w:t>
      </w:r>
      <w:r>
        <w:rPr>
          <w:rFonts w:asciiTheme="majorBidi" w:hAnsiTheme="majorBidi" w:cstheme="majorBidi"/>
          <w:sz w:val="28"/>
          <w:szCs w:val="28"/>
        </w:rPr>
        <w:t xml:space="preserve"> one which has direct relevance</w:t>
      </w:r>
      <w:r w:rsidRPr="00037A33">
        <w:rPr>
          <w:rFonts w:asciiTheme="majorBidi" w:hAnsiTheme="majorBidi" w:cstheme="majorBidi"/>
          <w:sz w:val="28"/>
          <w:szCs w:val="28"/>
        </w:rPr>
        <w:t xml:space="preserve"> to individuals with disabilities.</w:t>
      </w:r>
    </w:p>
    <w:p w14:paraId="5EC4348C" w14:textId="77777777" w:rsidR="00492359" w:rsidRPr="00037A33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820B747" w14:textId="77777777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7A33">
        <w:rPr>
          <w:rFonts w:asciiTheme="majorBidi" w:hAnsiTheme="majorBidi" w:cstheme="majorBidi"/>
          <w:sz w:val="28"/>
          <w:szCs w:val="28"/>
        </w:rPr>
        <w:lastRenderedPageBreak/>
        <w:t>All fields must be completed in the application form</w:t>
      </w:r>
      <w:r>
        <w:rPr>
          <w:rFonts w:asciiTheme="majorBidi" w:hAnsiTheme="majorBidi" w:cstheme="majorBidi"/>
          <w:sz w:val="28"/>
          <w:szCs w:val="28"/>
        </w:rPr>
        <w:t>. I</w:t>
      </w:r>
      <w:r w:rsidRPr="00037A33">
        <w:rPr>
          <w:rFonts w:asciiTheme="majorBidi" w:hAnsiTheme="majorBidi" w:cstheme="majorBidi"/>
          <w:sz w:val="28"/>
          <w:szCs w:val="28"/>
        </w:rPr>
        <w:t>ncomplete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7A33">
        <w:rPr>
          <w:rFonts w:asciiTheme="majorBidi" w:hAnsiTheme="majorBidi" w:cstheme="majorBidi"/>
          <w:sz w:val="28"/>
          <w:szCs w:val="28"/>
        </w:rPr>
        <w:t xml:space="preserve">applications will not be forwarded to the relevant </w:t>
      </w:r>
      <w:r>
        <w:rPr>
          <w:rFonts w:asciiTheme="majorBidi" w:hAnsiTheme="majorBidi" w:cstheme="majorBidi"/>
          <w:sz w:val="28"/>
          <w:szCs w:val="28"/>
        </w:rPr>
        <w:t xml:space="preserve">review </w:t>
      </w:r>
      <w:r w:rsidRPr="00037A33">
        <w:rPr>
          <w:rFonts w:asciiTheme="majorBidi" w:hAnsiTheme="majorBidi" w:cstheme="majorBidi"/>
          <w:sz w:val="28"/>
          <w:szCs w:val="28"/>
        </w:rPr>
        <w:t>committees.</w:t>
      </w:r>
    </w:p>
    <w:p w14:paraId="0A23DF29" w14:textId="77777777" w:rsidR="00492359" w:rsidRPr="00037A33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1D34DC7F" w14:textId="29123B30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 expert and qualified</w:t>
      </w:r>
      <w:r w:rsidRPr="00037A33">
        <w:rPr>
          <w:rFonts w:asciiTheme="majorBidi" w:hAnsiTheme="majorBidi" w:cstheme="majorBidi"/>
          <w:sz w:val="28"/>
          <w:szCs w:val="28"/>
        </w:rPr>
        <w:t xml:space="preserve"> </w:t>
      </w:r>
      <w:r w:rsidR="00316563">
        <w:rPr>
          <w:rFonts w:asciiTheme="majorBidi" w:hAnsiTheme="majorBidi" w:cstheme="majorBidi"/>
          <w:sz w:val="28"/>
          <w:szCs w:val="28"/>
        </w:rPr>
        <w:t>principal investigator (PI)</w:t>
      </w:r>
      <w:r w:rsidRPr="00037A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should</w:t>
      </w:r>
      <w:r w:rsidRPr="00037A33">
        <w:rPr>
          <w:rFonts w:asciiTheme="majorBidi" w:hAnsiTheme="majorBidi" w:cstheme="majorBidi"/>
          <w:sz w:val="28"/>
          <w:szCs w:val="28"/>
        </w:rPr>
        <w:t xml:space="preserve"> be </w:t>
      </w:r>
      <w:r>
        <w:rPr>
          <w:rFonts w:asciiTheme="majorBidi" w:hAnsiTheme="majorBidi" w:cstheme="majorBidi"/>
          <w:sz w:val="28"/>
          <w:szCs w:val="28"/>
        </w:rPr>
        <w:t>assigned. He/she</w:t>
      </w:r>
      <w:r w:rsidRPr="00037A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should</w:t>
      </w:r>
      <w:r w:rsidRPr="00037A33">
        <w:rPr>
          <w:rFonts w:asciiTheme="majorBidi" w:hAnsiTheme="majorBidi" w:cstheme="majorBidi"/>
          <w:sz w:val="28"/>
          <w:szCs w:val="28"/>
        </w:rPr>
        <w:t xml:space="preserve"> have a record of achievement in </w:t>
      </w:r>
      <w:r>
        <w:rPr>
          <w:rFonts w:asciiTheme="majorBidi" w:hAnsiTheme="majorBidi" w:cstheme="majorBidi"/>
          <w:sz w:val="28"/>
          <w:szCs w:val="28"/>
        </w:rPr>
        <w:t>team</w:t>
      </w:r>
      <w:r w:rsidRPr="00037A33">
        <w:rPr>
          <w:rFonts w:asciiTheme="majorBidi" w:hAnsiTheme="majorBidi" w:cstheme="majorBidi"/>
          <w:sz w:val="28"/>
          <w:szCs w:val="28"/>
        </w:rPr>
        <w:t>work, research projects, and scientific publications</w:t>
      </w:r>
      <w:r>
        <w:rPr>
          <w:rFonts w:asciiTheme="majorBidi" w:hAnsiTheme="majorBidi" w:cstheme="majorBidi"/>
          <w:sz w:val="28"/>
          <w:szCs w:val="28"/>
        </w:rPr>
        <w:t xml:space="preserve"> in journals indexed under SCOPU</w:t>
      </w:r>
      <w:r w:rsidR="004239C0">
        <w:rPr>
          <w:rFonts w:asciiTheme="majorBidi" w:hAnsiTheme="majorBidi" w:cstheme="majorBidi"/>
          <w:sz w:val="28"/>
          <w:szCs w:val="28"/>
        </w:rPr>
        <w:t>S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239C0" w:rsidRPr="004239C0">
        <w:rPr>
          <w:rFonts w:asciiTheme="majorBidi" w:hAnsiTheme="majorBidi" w:cstheme="majorBidi"/>
          <w:sz w:val="28"/>
          <w:szCs w:val="28"/>
        </w:rPr>
        <w:t>International Scientific Indexing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239C0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ISI</w:t>
      </w:r>
      <w:r w:rsidR="004239C0">
        <w:rPr>
          <w:rFonts w:asciiTheme="majorBidi" w:hAnsiTheme="majorBidi" w:cstheme="majorBidi"/>
          <w:sz w:val="28"/>
          <w:szCs w:val="28"/>
        </w:rPr>
        <w:t>)</w:t>
      </w:r>
      <w:r w:rsidRPr="003A5469">
        <w:rPr>
          <w:rFonts w:asciiTheme="majorBidi" w:hAnsiTheme="majorBidi" w:cstheme="majorBidi"/>
          <w:sz w:val="28"/>
          <w:szCs w:val="28"/>
        </w:rPr>
        <w:t xml:space="preserve">. 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 w:rsidRPr="003A5469">
        <w:rPr>
          <w:rFonts w:asciiTheme="majorBidi" w:hAnsiTheme="majorBidi" w:cstheme="majorBidi"/>
          <w:sz w:val="28"/>
          <w:szCs w:val="28"/>
        </w:rPr>
        <w:t xml:space="preserve"> is not required to be Saudi.</w:t>
      </w:r>
    </w:p>
    <w:p w14:paraId="0FFBBB3F" w14:textId="77777777" w:rsidR="00492359" w:rsidRPr="00AF4ED0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474B21D3" w14:textId="0A88040E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bookmarkStart w:id="2" w:name="_Hlk66306926"/>
      <w:bookmarkEnd w:id="1"/>
      <w:r w:rsidRPr="00037A33">
        <w:rPr>
          <w:rFonts w:asciiTheme="majorBidi" w:hAnsiTheme="majorBidi" w:cstheme="majorBidi"/>
          <w:sz w:val="28"/>
          <w:szCs w:val="28"/>
        </w:rPr>
        <w:t xml:space="preserve">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 w:rsidRPr="00037A33">
        <w:rPr>
          <w:rFonts w:asciiTheme="majorBidi" w:hAnsiTheme="majorBidi" w:cstheme="majorBidi"/>
          <w:sz w:val="28"/>
          <w:szCs w:val="28"/>
        </w:rPr>
        <w:t xml:space="preserve"> should fully abide by scientific research ethics and procedures when preparing the </w:t>
      </w:r>
      <w:r>
        <w:rPr>
          <w:rFonts w:asciiTheme="majorBidi" w:hAnsiTheme="majorBidi" w:cstheme="majorBidi"/>
          <w:sz w:val="28"/>
          <w:szCs w:val="28"/>
        </w:rPr>
        <w:t>grant</w:t>
      </w:r>
      <w:r w:rsidRPr="00037A33">
        <w:rPr>
          <w:rFonts w:asciiTheme="majorBidi" w:hAnsiTheme="majorBidi" w:cstheme="majorBidi"/>
          <w:sz w:val="28"/>
          <w:szCs w:val="28"/>
        </w:rPr>
        <w:t xml:space="preserve"> proposal.</w:t>
      </w:r>
    </w:p>
    <w:p w14:paraId="285D6F80" w14:textId="77777777" w:rsidR="00492359" w:rsidRPr="00037A33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38B3ECB" w14:textId="5032E755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>
        <w:rPr>
          <w:rFonts w:asciiTheme="majorBidi" w:hAnsiTheme="majorBidi" w:cstheme="majorBidi"/>
          <w:sz w:val="28"/>
          <w:szCs w:val="28"/>
        </w:rPr>
        <w:t xml:space="preserve"> should acknowledge that t</w:t>
      </w:r>
      <w:r w:rsidRPr="00037A33">
        <w:rPr>
          <w:rFonts w:asciiTheme="majorBidi" w:hAnsiTheme="majorBidi" w:cstheme="majorBidi"/>
          <w:sz w:val="28"/>
          <w:szCs w:val="28"/>
        </w:rPr>
        <w:t xml:space="preserve">he </w:t>
      </w:r>
      <w:r>
        <w:rPr>
          <w:rFonts w:asciiTheme="majorBidi" w:hAnsiTheme="majorBidi" w:cstheme="majorBidi"/>
          <w:sz w:val="28"/>
          <w:szCs w:val="28"/>
        </w:rPr>
        <w:t>research grant</w:t>
      </w:r>
      <w:r w:rsidRPr="00037A33">
        <w:rPr>
          <w:rFonts w:asciiTheme="majorBidi" w:hAnsiTheme="majorBidi" w:cstheme="majorBidi"/>
          <w:sz w:val="28"/>
          <w:szCs w:val="28"/>
        </w:rPr>
        <w:t xml:space="preserve"> proposal is original and has not been previously submitted to any other </w:t>
      </w:r>
      <w:r>
        <w:rPr>
          <w:rFonts w:asciiTheme="majorBidi" w:hAnsiTheme="majorBidi" w:cstheme="majorBidi"/>
          <w:sz w:val="28"/>
          <w:szCs w:val="28"/>
        </w:rPr>
        <w:t>body</w:t>
      </w:r>
      <w:r w:rsidRPr="00037A33">
        <w:rPr>
          <w:rFonts w:asciiTheme="majorBidi" w:hAnsiTheme="majorBidi" w:cstheme="majorBidi"/>
          <w:sz w:val="28"/>
          <w:szCs w:val="28"/>
        </w:rPr>
        <w:t>.</w:t>
      </w:r>
    </w:p>
    <w:p w14:paraId="2FF4BB8D" w14:textId="77777777" w:rsidR="00492359" w:rsidRPr="00037A33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5ACBE6D7" w14:textId="47E30D5D" w:rsidR="00492359" w:rsidRDefault="00492359" w:rsidP="0049235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037A33">
        <w:rPr>
          <w:rFonts w:asciiTheme="majorBidi" w:hAnsiTheme="majorBidi" w:cstheme="majorBidi"/>
          <w:sz w:val="28"/>
          <w:szCs w:val="28"/>
        </w:rPr>
        <w:t xml:space="preserve">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 w:rsidRPr="00037A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may not</w:t>
      </w:r>
      <w:r w:rsidRPr="00037A33">
        <w:rPr>
          <w:rFonts w:asciiTheme="majorBidi" w:hAnsiTheme="majorBidi" w:cstheme="majorBidi"/>
          <w:sz w:val="28"/>
          <w:szCs w:val="28"/>
        </w:rPr>
        <w:t xml:space="preserve"> apply </w:t>
      </w:r>
      <w:r>
        <w:rPr>
          <w:rFonts w:asciiTheme="majorBidi" w:hAnsiTheme="majorBidi" w:cstheme="majorBidi"/>
          <w:sz w:val="28"/>
          <w:szCs w:val="28"/>
        </w:rPr>
        <w:t xml:space="preserve">to the </w:t>
      </w:r>
      <w:r w:rsidR="006231B3">
        <w:rPr>
          <w:rFonts w:asciiTheme="majorBidi" w:hAnsiTheme="majorBidi" w:cstheme="majorBidi"/>
          <w:sz w:val="28"/>
          <w:szCs w:val="28"/>
        </w:rPr>
        <w:t>Centre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7A33">
        <w:rPr>
          <w:rFonts w:asciiTheme="majorBidi" w:hAnsiTheme="majorBidi" w:cstheme="majorBidi"/>
          <w:sz w:val="28"/>
          <w:szCs w:val="28"/>
        </w:rPr>
        <w:t xml:space="preserve">for any other scientific </w:t>
      </w:r>
      <w:r>
        <w:rPr>
          <w:rFonts w:asciiTheme="majorBidi" w:hAnsiTheme="majorBidi" w:cstheme="majorBidi"/>
          <w:sz w:val="28"/>
          <w:szCs w:val="28"/>
        </w:rPr>
        <w:t>project</w:t>
      </w:r>
      <w:r w:rsidRPr="00037A33">
        <w:rPr>
          <w:rFonts w:asciiTheme="majorBidi" w:hAnsiTheme="majorBidi" w:cstheme="majorBidi"/>
          <w:sz w:val="28"/>
          <w:szCs w:val="28"/>
        </w:rPr>
        <w:t xml:space="preserve"> until the </w:t>
      </w:r>
      <w:r>
        <w:rPr>
          <w:rFonts w:asciiTheme="majorBidi" w:hAnsiTheme="majorBidi" w:cstheme="majorBidi"/>
          <w:sz w:val="28"/>
          <w:szCs w:val="28"/>
        </w:rPr>
        <w:t>research grant</w:t>
      </w:r>
      <w:r w:rsidRPr="00037A33">
        <w:rPr>
          <w:rFonts w:asciiTheme="majorBidi" w:hAnsiTheme="majorBidi" w:cstheme="majorBidi"/>
          <w:sz w:val="28"/>
          <w:szCs w:val="28"/>
        </w:rPr>
        <w:t xml:space="preserve"> file is closed.</w:t>
      </w:r>
    </w:p>
    <w:p w14:paraId="5B639F0B" w14:textId="77777777" w:rsidR="00492359" w:rsidRPr="00037A33" w:rsidRDefault="00492359" w:rsidP="00492359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17D95A24" w14:textId="075D6B26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7A33">
        <w:rPr>
          <w:rFonts w:asciiTheme="majorBidi" w:hAnsiTheme="majorBidi" w:cstheme="majorBidi"/>
          <w:sz w:val="28"/>
          <w:szCs w:val="28"/>
        </w:rPr>
        <w:t xml:space="preserve">A proof that 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 w:rsidRPr="00037A33">
        <w:rPr>
          <w:rFonts w:asciiTheme="majorBidi" w:hAnsiTheme="majorBidi" w:cstheme="majorBidi"/>
          <w:sz w:val="28"/>
          <w:szCs w:val="28"/>
        </w:rPr>
        <w:t xml:space="preserve"> works with</w:t>
      </w:r>
      <w:r>
        <w:rPr>
          <w:rFonts w:asciiTheme="majorBidi" w:hAnsiTheme="majorBidi" w:cstheme="majorBidi"/>
          <w:sz w:val="28"/>
          <w:szCs w:val="28"/>
        </w:rPr>
        <w:t>,</w:t>
      </w:r>
      <w:r w:rsidRPr="00037A33">
        <w:rPr>
          <w:rFonts w:asciiTheme="majorBidi" w:hAnsiTheme="majorBidi" w:cstheme="majorBidi"/>
          <w:sz w:val="28"/>
          <w:szCs w:val="28"/>
        </w:rPr>
        <w:t xml:space="preserve"> or under the supervision of a </w:t>
      </w:r>
      <w:r>
        <w:rPr>
          <w:rFonts w:asciiTheme="majorBidi" w:hAnsiTheme="majorBidi" w:cstheme="majorBidi"/>
          <w:sz w:val="28"/>
          <w:szCs w:val="28"/>
        </w:rPr>
        <w:t>reference body</w:t>
      </w:r>
      <w:r w:rsidRPr="00037A33">
        <w:rPr>
          <w:rFonts w:asciiTheme="majorBidi" w:hAnsiTheme="majorBidi" w:cstheme="majorBidi"/>
          <w:sz w:val="28"/>
          <w:szCs w:val="28"/>
        </w:rPr>
        <w:t xml:space="preserve"> should be submitted.</w:t>
      </w:r>
    </w:p>
    <w:p w14:paraId="0863D533" w14:textId="77777777" w:rsidR="00492359" w:rsidRPr="00037A33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78F6A8E4" w14:textId="66E5DF44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budget of the research grant should be appropriately </w:t>
      </w:r>
      <w:r w:rsidR="006231B3">
        <w:rPr>
          <w:rFonts w:asciiTheme="majorBidi" w:hAnsiTheme="majorBidi" w:cstheme="majorBidi"/>
          <w:sz w:val="28"/>
          <w:szCs w:val="28"/>
        </w:rPr>
        <w:t>allocated,</w:t>
      </w:r>
      <w:r w:rsidRPr="00037A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the areas of expenditures should be</w:t>
      </w:r>
      <w:r w:rsidRPr="00037A33">
        <w:rPr>
          <w:rFonts w:asciiTheme="majorBidi" w:hAnsiTheme="majorBidi" w:cstheme="majorBidi"/>
          <w:sz w:val="28"/>
          <w:szCs w:val="28"/>
        </w:rPr>
        <w:t xml:space="preserve"> precisely </w:t>
      </w:r>
      <w:r>
        <w:rPr>
          <w:rFonts w:asciiTheme="majorBidi" w:hAnsiTheme="majorBidi" w:cstheme="majorBidi"/>
          <w:sz w:val="28"/>
          <w:szCs w:val="28"/>
        </w:rPr>
        <w:t>described.</w:t>
      </w:r>
    </w:p>
    <w:p w14:paraId="29BA28D8" w14:textId="77777777" w:rsidR="00492359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65BD9D3D" w14:textId="3FB4FFFF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3A5469">
        <w:rPr>
          <w:rFonts w:asciiTheme="majorBidi" w:hAnsiTheme="majorBidi" w:cstheme="majorBidi"/>
          <w:sz w:val="28"/>
          <w:szCs w:val="28"/>
        </w:rPr>
        <w:t xml:space="preserve">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 w:rsidRPr="003A5469">
        <w:rPr>
          <w:rFonts w:asciiTheme="majorBidi" w:hAnsiTheme="majorBidi" w:cstheme="majorBidi"/>
          <w:sz w:val="28"/>
          <w:szCs w:val="28"/>
        </w:rPr>
        <w:t xml:space="preserve"> undertakes </w:t>
      </w:r>
      <w:r>
        <w:rPr>
          <w:rFonts w:asciiTheme="majorBidi" w:hAnsiTheme="majorBidi" w:cstheme="majorBidi"/>
          <w:sz w:val="28"/>
          <w:szCs w:val="28"/>
        </w:rPr>
        <w:t>that the research grant will result in high-quality publications</w:t>
      </w:r>
      <w:r w:rsidRPr="003A5469">
        <w:rPr>
          <w:rFonts w:asciiTheme="majorBidi" w:hAnsiTheme="majorBidi" w:cstheme="majorBidi"/>
          <w:sz w:val="28"/>
          <w:szCs w:val="28"/>
        </w:rPr>
        <w:t xml:space="preserve"> in high-impact journals in the fields of disability, indexed under SCOPUS or ISI.</w:t>
      </w:r>
    </w:p>
    <w:p w14:paraId="364624E5" w14:textId="77777777" w:rsidR="00492359" w:rsidRPr="008147B5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3C024912" w14:textId="77777777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7A33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research grant</w:t>
      </w:r>
      <w:r w:rsidRPr="00037A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process shall take effect</w:t>
      </w:r>
      <w:r w:rsidRPr="00037A33">
        <w:rPr>
          <w:rFonts w:asciiTheme="majorBidi" w:hAnsiTheme="majorBidi" w:cstheme="majorBidi"/>
          <w:sz w:val="28"/>
          <w:szCs w:val="28"/>
        </w:rPr>
        <w:t xml:space="preserve"> from the date of signature. No parts, extracts, or articles published before will be considered.</w:t>
      </w:r>
    </w:p>
    <w:p w14:paraId="3EBA1640" w14:textId="77777777" w:rsidR="00492359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03F45F82" w14:textId="346B7097" w:rsidR="00492359" w:rsidRDefault="00492359" w:rsidP="0049235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7A33">
        <w:rPr>
          <w:rFonts w:asciiTheme="majorBidi" w:hAnsiTheme="majorBidi" w:cstheme="majorBidi"/>
          <w:sz w:val="28"/>
          <w:szCs w:val="28"/>
        </w:rPr>
        <w:t xml:space="preserve">The term of the </w:t>
      </w:r>
      <w:r>
        <w:rPr>
          <w:rFonts w:asciiTheme="majorBidi" w:hAnsiTheme="majorBidi" w:cstheme="majorBidi"/>
          <w:sz w:val="28"/>
          <w:szCs w:val="28"/>
        </w:rPr>
        <w:t>research grant</w:t>
      </w:r>
      <w:r w:rsidRPr="00037A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may</w:t>
      </w:r>
      <w:r w:rsidRPr="00037A33">
        <w:rPr>
          <w:rFonts w:asciiTheme="majorBidi" w:hAnsiTheme="majorBidi" w:cstheme="majorBidi"/>
          <w:sz w:val="28"/>
          <w:szCs w:val="28"/>
        </w:rPr>
        <w:t xml:space="preserve"> be extended </w:t>
      </w:r>
      <w:r>
        <w:rPr>
          <w:rFonts w:asciiTheme="majorBidi" w:hAnsiTheme="majorBidi" w:cstheme="majorBidi"/>
          <w:sz w:val="28"/>
          <w:szCs w:val="28"/>
        </w:rPr>
        <w:t>subject to</w:t>
      </w:r>
      <w:r w:rsidRPr="00037A33">
        <w:rPr>
          <w:rFonts w:asciiTheme="majorBidi" w:hAnsiTheme="majorBidi" w:cstheme="majorBidi"/>
          <w:sz w:val="28"/>
          <w:szCs w:val="28"/>
        </w:rPr>
        <w:t xml:space="preserve"> the approval of the competent committees at the </w:t>
      </w:r>
      <w:r w:rsidR="006231B3">
        <w:rPr>
          <w:rFonts w:asciiTheme="majorBidi" w:hAnsiTheme="majorBidi" w:cstheme="majorBidi"/>
          <w:sz w:val="28"/>
          <w:szCs w:val="28"/>
        </w:rPr>
        <w:t>Centre</w:t>
      </w:r>
      <w:r>
        <w:rPr>
          <w:rFonts w:asciiTheme="majorBidi" w:hAnsiTheme="majorBidi" w:cstheme="majorBidi"/>
          <w:sz w:val="28"/>
          <w:szCs w:val="28"/>
        </w:rPr>
        <w:t xml:space="preserve"> upon</w:t>
      </w:r>
      <w:r w:rsidRPr="00037A33">
        <w:rPr>
          <w:rFonts w:asciiTheme="majorBidi" w:hAnsiTheme="majorBidi" w:cstheme="majorBidi"/>
          <w:sz w:val="28"/>
          <w:szCs w:val="28"/>
        </w:rPr>
        <w:t xml:space="preserve"> an official request submitted by 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 w:rsidRPr="00037A33">
        <w:rPr>
          <w:rFonts w:asciiTheme="majorBidi" w:hAnsiTheme="majorBidi" w:cstheme="majorBidi"/>
          <w:sz w:val="28"/>
          <w:szCs w:val="28"/>
        </w:rPr>
        <w:t xml:space="preserve"> justifying the extension</w:t>
      </w:r>
      <w:r>
        <w:rPr>
          <w:rFonts w:asciiTheme="majorBidi" w:hAnsiTheme="majorBidi" w:cstheme="majorBidi"/>
          <w:sz w:val="28"/>
          <w:szCs w:val="28"/>
        </w:rPr>
        <w:t xml:space="preserve"> request</w:t>
      </w:r>
      <w:r w:rsidRPr="00037A33">
        <w:rPr>
          <w:rFonts w:asciiTheme="majorBidi" w:hAnsiTheme="majorBidi" w:cstheme="majorBidi"/>
          <w:sz w:val="28"/>
          <w:szCs w:val="28"/>
        </w:rPr>
        <w:t xml:space="preserve">, provided that no additional costs </w:t>
      </w:r>
      <w:r>
        <w:rPr>
          <w:rFonts w:asciiTheme="majorBidi" w:hAnsiTheme="majorBidi" w:cstheme="majorBidi"/>
          <w:sz w:val="28"/>
          <w:szCs w:val="28"/>
        </w:rPr>
        <w:t>will</w:t>
      </w:r>
      <w:r w:rsidRPr="00037A33">
        <w:rPr>
          <w:rFonts w:asciiTheme="majorBidi" w:hAnsiTheme="majorBidi" w:cstheme="majorBidi"/>
          <w:sz w:val="28"/>
          <w:szCs w:val="28"/>
        </w:rPr>
        <w:t xml:space="preserve"> be incurred.</w:t>
      </w:r>
      <w:bookmarkEnd w:id="2"/>
    </w:p>
    <w:p w14:paraId="5100B1ED" w14:textId="77777777" w:rsidR="00492359" w:rsidRPr="00010A80" w:rsidRDefault="00492359" w:rsidP="0049235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2B6B7AD" w14:textId="77777777" w:rsidR="00492359" w:rsidRDefault="00492359" w:rsidP="004923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56B134DF" w14:textId="77777777" w:rsidR="00492359" w:rsidRPr="00010A80" w:rsidRDefault="00492359" w:rsidP="004923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674644B9" w14:textId="77777777" w:rsidR="00492359" w:rsidRPr="00045D3E" w:rsidRDefault="00492359" w:rsidP="00492359">
      <w:pPr>
        <w:bidi w:val="0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045D3E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Disbursement mechanisms:</w:t>
      </w:r>
    </w:p>
    <w:p w14:paraId="0DC754C3" w14:textId="3BF591CF" w:rsidR="00492359" w:rsidRPr="002F0619" w:rsidRDefault="00492359" w:rsidP="004923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bookmarkStart w:id="3" w:name="_Hlk66307173"/>
      <w:r w:rsidRPr="002F0619">
        <w:rPr>
          <w:rFonts w:asciiTheme="majorBidi" w:hAnsiTheme="majorBidi" w:cstheme="majorBidi"/>
          <w:sz w:val="28"/>
          <w:szCs w:val="28"/>
        </w:rPr>
        <w:t xml:space="preserve">The </w:t>
      </w:r>
      <w:r w:rsidR="00316563">
        <w:rPr>
          <w:rFonts w:asciiTheme="majorBidi" w:hAnsiTheme="majorBidi" w:cstheme="majorBidi"/>
          <w:sz w:val="28"/>
          <w:szCs w:val="28"/>
        </w:rPr>
        <w:t>PI</w:t>
      </w:r>
      <w:r w:rsidRPr="002F0619">
        <w:rPr>
          <w:rFonts w:asciiTheme="majorBidi" w:hAnsiTheme="majorBidi" w:cstheme="majorBidi"/>
          <w:sz w:val="28"/>
          <w:szCs w:val="28"/>
        </w:rPr>
        <w:t xml:space="preserve"> should submit a technical and financial progress report to the </w:t>
      </w:r>
      <w:r w:rsidR="006231B3">
        <w:rPr>
          <w:rFonts w:asciiTheme="majorBidi" w:hAnsiTheme="majorBidi" w:cstheme="majorBidi"/>
          <w:sz w:val="28"/>
          <w:szCs w:val="28"/>
        </w:rPr>
        <w:t>Centre</w:t>
      </w:r>
      <w:r w:rsidRPr="002F0619">
        <w:rPr>
          <w:rFonts w:asciiTheme="majorBidi" w:hAnsiTheme="majorBidi" w:cstheme="majorBidi"/>
          <w:sz w:val="28"/>
          <w:szCs w:val="28"/>
        </w:rPr>
        <w:t xml:space="preserve">, on what has been accomplished every three months. The disbursement </w:t>
      </w:r>
      <w:r>
        <w:rPr>
          <w:rFonts w:asciiTheme="majorBidi" w:hAnsiTheme="majorBidi" w:cstheme="majorBidi"/>
          <w:sz w:val="28"/>
          <w:szCs w:val="28"/>
        </w:rPr>
        <w:t>shall be made</w:t>
      </w:r>
      <w:r w:rsidRPr="002F0619">
        <w:rPr>
          <w:rFonts w:asciiTheme="majorBidi" w:hAnsiTheme="majorBidi" w:cstheme="majorBidi"/>
          <w:sz w:val="28"/>
          <w:szCs w:val="28"/>
        </w:rPr>
        <w:t xml:space="preserve"> in four payments:</w:t>
      </w:r>
    </w:p>
    <w:bookmarkEnd w:id="3"/>
    <w:p w14:paraId="330B715E" w14:textId="77777777" w:rsidR="00492359" w:rsidRPr="00045D3E" w:rsidRDefault="00492359" w:rsidP="0049235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562962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45D3E">
        <w:rPr>
          <w:rFonts w:asciiTheme="majorBidi" w:hAnsiTheme="majorBidi" w:cstheme="majorBidi"/>
          <w:sz w:val="28"/>
          <w:szCs w:val="28"/>
        </w:rPr>
        <w:t>payment, upon signing the contract.</w:t>
      </w:r>
    </w:p>
    <w:p w14:paraId="5908E349" w14:textId="77777777" w:rsidR="00492359" w:rsidRPr="00045D3E" w:rsidRDefault="00492359" w:rsidP="0049235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562962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payment</w:t>
      </w:r>
      <w:r w:rsidRPr="00045D3E">
        <w:rPr>
          <w:rFonts w:asciiTheme="majorBidi" w:hAnsiTheme="majorBidi" w:cstheme="majorBidi"/>
          <w:sz w:val="28"/>
          <w:szCs w:val="28"/>
        </w:rPr>
        <w:t xml:space="preserve">, after </w:t>
      </w:r>
      <w:r>
        <w:rPr>
          <w:rFonts w:asciiTheme="majorBidi" w:hAnsiTheme="majorBidi" w:cstheme="majorBidi"/>
          <w:sz w:val="28"/>
          <w:szCs w:val="28"/>
        </w:rPr>
        <w:t>reviewing</w:t>
      </w:r>
      <w:r w:rsidRPr="00045D3E">
        <w:rPr>
          <w:rFonts w:asciiTheme="majorBidi" w:hAnsiTheme="majorBidi" w:cstheme="majorBidi"/>
          <w:sz w:val="28"/>
          <w:szCs w:val="28"/>
        </w:rPr>
        <w:t xml:space="preserve"> the second report.</w:t>
      </w:r>
    </w:p>
    <w:p w14:paraId="450453F1" w14:textId="77777777" w:rsidR="00492359" w:rsidRPr="00045D3E" w:rsidRDefault="00492359" w:rsidP="0049235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562962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payment</w:t>
      </w:r>
      <w:r w:rsidRPr="00045D3E">
        <w:rPr>
          <w:rFonts w:asciiTheme="majorBidi" w:hAnsiTheme="majorBidi" w:cstheme="majorBidi"/>
          <w:sz w:val="28"/>
          <w:szCs w:val="28"/>
        </w:rPr>
        <w:t xml:space="preserve">, after </w:t>
      </w:r>
      <w:r>
        <w:rPr>
          <w:rFonts w:asciiTheme="majorBidi" w:hAnsiTheme="majorBidi" w:cstheme="majorBidi"/>
          <w:sz w:val="28"/>
          <w:szCs w:val="28"/>
        </w:rPr>
        <w:t>reviewing</w:t>
      </w:r>
      <w:r w:rsidRPr="00045D3E">
        <w:rPr>
          <w:rFonts w:asciiTheme="majorBidi" w:hAnsiTheme="majorBidi" w:cstheme="majorBidi"/>
          <w:sz w:val="28"/>
          <w:szCs w:val="28"/>
        </w:rPr>
        <w:t xml:space="preserve"> the fourth "final" report, according to the following schedule: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3"/>
        <w:gridCol w:w="1184"/>
        <w:gridCol w:w="1184"/>
        <w:gridCol w:w="1184"/>
        <w:gridCol w:w="1426"/>
        <w:gridCol w:w="1134"/>
      </w:tblGrid>
      <w:tr w:rsidR="00492359" w:rsidRPr="002F0619" w14:paraId="74A472E1" w14:textId="77777777" w:rsidTr="00591A99">
        <w:tc>
          <w:tcPr>
            <w:tcW w:w="1243" w:type="dxa"/>
            <w:vMerge w:val="restart"/>
          </w:tcPr>
          <w:p w14:paraId="52151805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One-Year Research Grant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0E475EFF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0619">
              <w:rPr>
                <w:rFonts w:asciiTheme="majorBidi" w:hAnsiTheme="majorBidi" w:cstheme="majorBidi"/>
                <w:sz w:val="28"/>
                <w:szCs w:val="28"/>
              </w:rPr>
              <w:t>Amount upon signing the contract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631414AE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0619">
              <w:rPr>
                <w:rFonts w:asciiTheme="majorBidi" w:hAnsiTheme="majorBidi" w:cstheme="majorBidi"/>
                <w:sz w:val="28"/>
                <w:szCs w:val="28"/>
              </w:rPr>
              <w:t>First report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2005AC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month</w:t>
            </w:r>
            <w:r w:rsidRPr="002F061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146A5252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0619">
              <w:rPr>
                <w:rFonts w:asciiTheme="majorBidi" w:hAnsiTheme="majorBidi" w:cstheme="majorBidi"/>
                <w:sz w:val="28"/>
                <w:szCs w:val="28"/>
              </w:rPr>
              <w:t>Second report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005AC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month</w:t>
            </w:r>
            <w:r w:rsidRPr="002F061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4DE4D7F9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0619">
              <w:rPr>
                <w:rFonts w:asciiTheme="majorBidi" w:hAnsiTheme="majorBidi" w:cstheme="majorBidi"/>
                <w:sz w:val="28"/>
                <w:szCs w:val="28"/>
              </w:rPr>
              <w:t>Third report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2005AC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F0619">
              <w:rPr>
                <w:rFonts w:asciiTheme="majorBidi" w:hAnsiTheme="majorBidi" w:cstheme="majorBidi"/>
                <w:sz w:val="28"/>
                <w:szCs w:val="28"/>
              </w:rPr>
              <w:t>month)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3E5089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0619">
              <w:rPr>
                <w:rFonts w:asciiTheme="majorBidi" w:hAnsiTheme="majorBidi" w:cstheme="majorBidi"/>
                <w:sz w:val="28"/>
                <w:szCs w:val="28"/>
              </w:rPr>
              <w:t>Fourth report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2005AC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F0619">
              <w:rPr>
                <w:rFonts w:asciiTheme="majorBidi" w:hAnsiTheme="majorBidi" w:cstheme="majorBidi"/>
                <w:sz w:val="28"/>
                <w:szCs w:val="28"/>
              </w:rPr>
              <w:t>month)</w:t>
            </w:r>
          </w:p>
        </w:tc>
      </w:tr>
      <w:tr w:rsidR="00492359" w:rsidRPr="002F0619" w14:paraId="3F860235" w14:textId="77777777" w:rsidTr="00591A99">
        <w:tc>
          <w:tcPr>
            <w:tcW w:w="1243" w:type="dxa"/>
            <w:vMerge/>
          </w:tcPr>
          <w:p w14:paraId="63D81D25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74E2F492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0619">
              <w:rPr>
                <w:rFonts w:asciiTheme="majorBidi" w:hAnsiTheme="majorBidi" w:cstheme="majorBidi"/>
                <w:sz w:val="28"/>
                <w:szCs w:val="28"/>
              </w:rPr>
              <w:t>20%</w:t>
            </w:r>
          </w:p>
        </w:tc>
        <w:tc>
          <w:tcPr>
            <w:tcW w:w="1184" w:type="dxa"/>
          </w:tcPr>
          <w:p w14:paraId="41CD86F7" w14:textId="77777777" w:rsidR="00492359" w:rsidRPr="00FF19ED" w:rsidRDefault="00492359" w:rsidP="004923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4BF8A60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2F0619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1426" w:type="dxa"/>
          </w:tcPr>
          <w:p w14:paraId="432C33C8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1CB4E42" w14:textId="77777777" w:rsidR="00492359" w:rsidRPr="002F0619" w:rsidRDefault="00492359" w:rsidP="004944F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 w:rsidRPr="002F0619"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</w:tbl>
    <w:p w14:paraId="130F88FE" w14:textId="77777777" w:rsidR="00492359" w:rsidRPr="0030177D" w:rsidRDefault="00492359" w:rsidP="00492359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560734AA" w14:textId="77777777" w:rsidR="00492359" w:rsidRPr="00037A33" w:rsidRDefault="00492359" w:rsidP="00492359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4"/>
        <w:gridCol w:w="1180"/>
        <w:gridCol w:w="1172"/>
        <w:gridCol w:w="1174"/>
        <w:gridCol w:w="1476"/>
        <w:gridCol w:w="1178"/>
      </w:tblGrid>
      <w:tr w:rsidR="00492359" w14:paraId="23506602" w14:textId="77777777" w:rsidTr="004944F4">
        <w:tc>
          <w:tcPr>
            <w:tcW w:w="1244" w:type="dxa"/>
            <w:vMerge w:val="restart"/>
          </w:tcPr>
          <w:p w14:paraId="6D7C4708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Two-Year Research Grant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53BDDF9D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Amount upon signing the contract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6385E7B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First report (6</w:t>
            </w:r>
            <w:r w:rsidRPr="005C5EA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month)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2B8D635C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Second report (12</w:t>
            </w:r>
            <w:r w:rsidRPr="005C5EA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month)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A298F9E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Third report (18</w:t>
            </w:r>
            <w:r w:rsidRPr="005C5EA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month)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5777A060" w14:textId="00946B9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Fourth report (24</w:t>
            </w:r>
            <w:r w:rsidR="006231B3" w:rsidRPr="005C5EA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="006231B3">
              <w:rPr>
                <w:rFonts w:asciiTheme="majorBidi" w:hAnsiTheme="majorBidi" w:cstheme="majorBidi"/>
                <w:sz w:val="28"/>
                <w:szCs w:val="28"/>
              </w:rPr>
              <w:t xml:space="preserve"> month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492359" w14:paraId="123C03E3" w14:textId="77777777" w:rsidTr="004944F4">
        <w:tc>
          <w:tcPr>
            <w:tcW w:w="1244" w:type="dxa"/>
            <w:vMerge/>
          </w:tcPr>
          <w:p w14:paraId="5E661A1D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0" w:type="dxa"/>
          </w:tcPr>
          <w:p w14:paraId="0E04BE01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20%</w:t>
            </w:r>
          </w:p>
        </w:tc>
        <w:tc>
          <w:tcPr>
            <w:tcW w:w="1172" w:type="dxa"/>
          </w:tcPr>
          <w:p w14:paraId="66F9DC51" w14:textId="77777777" w:rsidR="00492359" w:rsidRDefault="00492359" w:rsidP="00492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4" w:type="dxa"/>
          </w:tcPr>
          <w:p w14:paraId="1A85F2DC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30%</w:t>
            </w:r>
          </w:p>
        </w:tc>
        <w:tc>
          <w:tcPr>
            <w:tcW w:w="1476" w:type="dxa"/>
          </w:tcPr>
          <w:p w14:paraId="1FC296D3" w14:textId="77777777" w:rsidR="00492359" w:rsidRDefault="00492359" w:rsidP="00492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8" w:type="dxa"/>
          </w:tcPr>
          <w:p w14:paraId="0720D946" w14:textId="77777777" w:rsidR="00492359" w:rsidRDefault="00492359" w:rsidP="004944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50%</w:t>
            </w:r>
          </w:p>
        </w:tc>
      </w:tr>
    </w:tbl>
    <w:p w14:paraId="236DCA72" w14:textId="77777777" w:rsidR="00492359" w:rsidRPr="006C6BBB" w:rsidRDefault="00492359" w:rsidP="00492359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5FC4CFB" w14:textId="783B2FB4" w:rsidR="00492359" w:rsidRPr="00817FAC" w:rsidRDefault="00492359" w:rsidP="0049235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817FAC">
        <w:rPr>
          <w:rFonts w:asciiTheme="majorBidi" w:hAnsiTheme="majorBidi" w:cstheme="majorBidi"/>
          <w:sz w:val="28"/>
          <w:szCs w:val="28"/>
        </w:rPr>
        <w:t xml:space="preserve">Periodic reports </w:t>
      </w:r>
      <w:r>
        <w:rPr>
          <w:rFonts w:asciiTheme="majorBidi" w:hAnsiTheme="majorBidi" w:cstheme="majorBidi"/>
          <w:sz w:val="28"/>
          <w:szCs w:val="28"/>
        </w:rPr>
        <w:t>shall</w:t>
      </w:r>
      <w:r w:rsidRPr="00817FAC">
        <w:rPr>
          <w:rFonts w:asciiTheme="majorBidi" w:hAnsiTheme="majorBidi" w:cstheme="majorBidi"/>
          <w:sz w:val="28"/>
          <w:szCs w:val="28"/>
        </w:rPr>
        <w:t xml:space="preserve"> </w:t>
      </w:r>
      <w:r w:rsidR="006231B3">
        <w:rPr>
          <w:rFonts w:asciiTheme="majorBidi" w:hAnsiTheme="majorBidi" w:cstheme="majorBidi"/>
          <w:sz w:val="28"/>
          <w:szCs w:val="28"/>
        </w:rPr>
        <w:t xml:space="preserve">be </w:t>
      </w:r>
      <w:r w:rsidRPr="00817FAC">
        <w:rPr>
          <w:rFonts w:asciiTheme="majorBidi" w:hAnsiTheme="majorBidi" w:cstheme="majorBidi"/>
          <w:sz w:val="28"/>
          <w:szCs w:val="28"/>
        </w:rPr>
        <w:t xml:space="preserve">reviewed and </w:t>
      </w:r>
      <w:r>
        <w:rPr>
          <w:rFonts w:asciiTheme="majorBidi" w:hAnsiTheme="majorBidi" w:cstheme="majorBidi"/>
          <w:sz w:val="28"/>
          <w:szCs w:val="28"/>
        </w:rPr>
        <w:t>assessed</w:t>
      </w:r>
      <w:r w:rsidRPr="00817FAC">
        <w:rPr>
          <w:rFonts w:asciiTheme="majorBidi" w:hAnsiTheme="majorBidi" w:cstheme="majorBidi"/>
          <w:sz w:val="28"/>
          <w:szCs w:val="28"/>
        </w:rPr>
        <w:t xml:space="preserve"> by specialized committees, and financial </w:t>
      </w:r>
      <w:r>
        <w:rPr>
          <w:rFonts w:asciiTheme="majorBidi" w:hAnsiTheme="majorBidi" w:cstheme="majorBidi"/>
          <w:sz w:val="28"/>
          <w:szCs w:val="28"/>
        </w:rPr>
        <w:t>dues</w:t>
      </w:r>
      <w:r w:rsidRPr="00817FA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shall be</w:t>
      </w:r>
      <w:r w:rsidRPr="00817FAC">
        <w:rPr>
          <w:rFonts w:asciiTheme="majorBidi" w:hAnsiTheme="majorBidi" w:cstheme="majorBidi"/>
          <w:sz w:val="28"/>
          <w:szCs w:val="28"/>
        </w:rPr>
        <w:t xml:space="preserve"> disbursed based on the results of the </w:t>
      </w:r>
      <w:r>
        <w:rPr>
          <w:rFonts w:asciiTheme="majorBidi" w:hAnsiTheme="majorBidi" w:cstheme="majorBidi"/>
          <w:sz w:val="28"/>
          <w:szCs w:val="28"/>
        </w:rPr>
        <w:t>review</w:t>
      </w:r>
      <w:r w:rsidRPr="00817FAC">
        <w:rPr>
          <w:rFonts w:asciiTheme="majorBidi" w:hAnsiTheme="majorBidi" w:cstheme="majorBidi"/>
          <w:sz w:val="28"/>
          <w:szCs w:val="28"/>
        </w:rPr>
        <w:t>.</w:t>
      </w:r>
    </w:p>
    <w:p w14:paraId="7B2223A7" w14:textId="77777777" w:rsidR="00492359" w:rsidRPr="00247D4F" w:rsidRDefault="00492359" w:rsidP="00492359">
      <w:pPr>
        <w:bidi w:val="0"/>
        <w:rPr>
          <w:rFonts w:asciiTheme="majorBidi" w:hAnsiTheme="majorBidi" w:cstheme="majorBidi"/>
          <w:sz w:val="28"/>
          <w:szCs w:val="28"/>
          <w:lang w:val="en-GB"/>
        </w:rPr>
      </w:pPr>
    </w:p>
    <w:p w14:paraId="4A445CDC" w14:textId="77777777" w:rsidR="00492359" w:rsidRPr="00492359" w:rsidRDefault="00492359">
      <w:pPr>
        <w:rPr>
          <w:lang w:val="en-GB"/>
        </w:rPr>
      </w:pPr>
    </w:p>
    <w:sectPr w:rsidR="00492359" w:rsidRPr="00492359" w:rsidSect="00492359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5250" w14:textId="77777777" w:rsidR="007539DA" w:rsidRDefault="007539DA">
      <w:pPr>
        <w:spacing w:after="0" w:line="240" w:lineRule="auto"/>
      </w:pPr>
      <w:r>
        <w:separator/>
      </w:r>
    </w:p>
  </w:endnote>
  <w:endnote w:type="continuationSeparator" w:id="0">
    <w:p w14:paraId="06C42D14" w14:textId="77777777" w:rsidR="007539DA" w:rsidRDefault="0075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661F" w14:textId="77777777" w:rsidR="008428D7" w:rsidRDefault="0049235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C2F9A9" wp14:editId="57F0A9A6">
          <wp:simplePos x="0" y="0"/>
          <wp:positionH relativeFrom="column">
            <wp:posOffset>-908050</wp:posOffset>
          </wp:positionH>
          <wp:positionV relativeFrom="paragraph">
            <wp:posOffset>-441325</wp:posOffset>
          </wp:positionV>
          <wp:extent cx="1752600" cy="826135"/>
          <wp:effectExtent l="0" t="0" r="0" b="0"/>
          <wp:wrapTight wrapText="bothSides">
            <wp:wrapPolygon edited="0">
              <wp:start x="1878" y="0"/>
              <wp:lineTo x="0" y="996"/>
              <wp:lineTo x="0" y="20919"/>
              <wp:lineTo x="21365" y="20919"/>
              <wp:lineTo x="21365" y="18429"/>
              <wp:lineTo x="20896" y="15939"/>
              <wp:lineTo x="15496" y="7471"/>
              <wp:lineTo x="8687" y="996"/>
              <wp:lineTo x="6339" y="0"/>
              <wp:lineTo x="18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A93CAA" wp14:editId="65892D28">
          <wp:simplePos x="0" y="0"/>
          <wp:positionH relativeFrom="column">
            <wp:posOffset>-1092200</wp:posOffset>
          </wp:positionH>
          <wp:positionV relativeFrom="paragraph">
            <wp:posOffset>367808</wp:posOffset>
          </wp:positionV>
          <wp:extent cx="7806690" cy="353695"/>
          <wp:effectExtent l="0" t="0" r="3810" b="1905"/>
          <wp:wrapTight wrapText="bothSides">
            <wp:wrapPolygon edited="0">
              <wp:start x="0" y="0"/>
              <wp:lineTo x="0" y="20941"/>
              <wp:lineTo x="21575" y="20941"/>
              <wp:lineTo x="215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mmunication_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9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0946" w14:textId="77777777" w:rsidR="007539DA" w:rsidRDefault="007539DA">
      <w:pPr>
        <w:spacing w:after="0" w:line="240" w:lineRule="auto"/>
      </w:pPr>
      <w:r>
        <w:separator/>
      </w:r>
    </w:p>
  </w:footnote>
  <w:footnote w:type="continuationSeparator" w:id="0">
    <w:p w14:paraId="28403B39" w14:textId="77777777" w:rsidR="007539DA" w:rsidRDefault="0075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C224" w14:textId="77777777" w:rsidR="008428D7" w:rsidRDefault="00492359">
    <w:pPr>
      <w:pStyle w:val="Header"/>
      <w:rPr>
        <w:noProof/>
        <w:rtl/>
        <w:lang w:val="en-US"/>
      </w:rPr>
    </w:pPr>
    <w:r w:rsidRPr="001E572F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162B1252" wp14:editId="0D6A8026">
          <wp:simplePos x="0" y="0"/>
          <wp:positionH relativeFrom="column">
            <wp:posOffset>1974850</wp:posOffset>
          </wp:positionH>
          <wp:positionV relativeFrom="paragraph">
            <wp:posOffset>-100965</wp:posOffset>
          </wp:positionV>
          <wp:extent cx="1619250" cy="937177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7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2ABE51" w14:textId="77777777" w:rsidR="00CA6C68" w:rsidRDefault="007539DA">
    <w:pPr>
      <w:pStyle w:val="Header"/>
      <w:rPr>
        <w:noProof/>
        <w:rtl/>
        <w:lang w:val="en-US"/>
      </w:rPr>
    </w:pPr>
  </w:p>
  <w:p w14:paraId="2ED3D7BC" w14:textId="77777777" w:rsidR="00CA6C68" w:rsidRDefault="007539DA">
    <w:pPr>
      <w:pStyle w:val="Header"/>
      <w:rPr>
        <w:rtl/>
      </w:rPr>
    </w:pPr>
  </w:p>
  <w:p w14:paraId="10080484" w14:textId="77777777" w:rsidR="003001CB" w:rsidRPr="003001CB" w:rsidRDefault="007539D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9A1"/>
    <w:multiLevelType w:val="hybridMultilevel"/>
    <w:tmpl w:val="69984B6E"/>
    <w:lvl w:ilvl="0" w:tplc="0ECCE7F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683A"/>
    <w:multiLevelType w:val="hybridMultilevel"/>
    <w:tmpl w:val="10DE50B2"/>
    <w:lvl w:ilvl="0" w:tplc="7250DB9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6050F"/>
    <w:multiLevelType w:val="hybridMultilevel"/>
    <w:tmpl w:val="87B4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6431"/>
    <w:multiLevelType w:val="hybridMultilevel"/>
    <w:tmpl w:val="D0BAF198"/>
    <w:lvl w:ilvl="0" w:tplc="7250DB9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17C7"/>
    <w:multiLevelType w:val="hybridMultilevel"/>
    <w:tmpl w:val="CDFA862A"/>
    <w:lvl w:ilvl="0" w:tplc="7250DB98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9"/>
    <w:rsid w:val="000C1626"/>
    <w:rsid w:val="000C2BAC"/>
    <w:rsid w:val="00267B92"/>
    <w:rsid w:val="00316563"/>
    <w:rsid w:val="003950F2"/>
    <w:rsid w:val="004239C0"/>
    <w:rsid w:val="00492359"/>
    <w:rsid w:val="00563F84"/>
    <w:rsid w:val="00591A99"/>
    <w:rsid w:val="006231B3"/>
    <w:rsid w:val="007539DA"/>
    <w:rsid w:val="007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A6432"/>
  <w15:chartTrackingRefBased/>
  <w15:docId w15:val="{ECE8606C-7320-DE4D-8FCB-A713268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59"/>
    <w:pPr>
      <w:bidi/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59"/>
    <w:pPr>
      <w:tabs>
        <w:tab w:val="center" w:pos="4680"/>
        <w:tab w:val="right" w:pos="9360"/>
      </w:tabs>
      <w:bidi w:val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235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359"/>
    <w:pPr>
      <w:tabs>
        <w:tab w:val="center" w:pos="4680"/>
        <w:tab w:val="right" w:pos="9360"/>
      </w:tabs>
      <w:bidi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2359"/>
    <w:rPr>
      <w:sz w:val="22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92359"/>
    <w:pPr>
      <w:bidi w:val="0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49235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359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235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kscdr.org.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cdr.org.sa/ar/research/apply-research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Abdulnasser Alhusaini</dc:creator>
  <cp:keywords/>
  <dc:description/>
  <cp:lastModifiedBy>alrashedabeer@yahoo.com</cp:lastModifiedBy>
  <cp:revision>2</cp:revision>
  <dcterms:created xsi:type="dcterms:W3CDTF">2021-03-16T10:39:00Z</dcterms:created>
  <dcterms:modified xsi:type="dcterms:W3CDTF">2021-03-16T10:39:00Z</dcterms:modified>
</cp:coreProperties>
</file>